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styles.xml" ContentType="application/vnd.openxmlformats-officedocument.wordprocessingml.styles+xml"/>
</Types>
</file>

<file path=_rels/.rels>&#65279;<?xml version="1.0" encoding="utf-8"?><Relationships xmlns="http://schemas.openxmlformats.org/package/2006/relationships"><Relationship Type="http://schemas.openxmlformats.org/officeDocument/2006/relationships/officeDocument" Target="/word/document.xml" Id="R4e67ba9784194650" /></Relationships>
</file>

<file path=word/document.xml><?xml version="1.0" encoding="utf-8"?>
<w:document xmlns:w="http://schemas.openxmlformats.org/wordprocessingml/2006/main">
  <w:body>
    <w:tbl>
      <w:tblPr>
        <w:tblW w:w="9000" w:type="dxa"/>
        <w:tblBorders>
          <w:top w:val="nil"/>
          <w:bottom w:val="nil"/>
          <w:left w:val="nil"/>
          <w:right w:val="nil"/>
          <w:insideH w:val="nil"/>
          <w:insideV w:val="nil"/>
        </w:tblBorders>
        <w:tblCellSpacing w:w="60" w:type="dxa"/>
        <w:shd w:val="clear" w:color="auto" w:fill="E7F0F9"/>
      </w:tblPr>
      <w:tblGrid>
        <w:gridCol w:w="1200"/>
        <w:gridCol w:w="4500"/>
      </w:tblGrid>
      <w:tr>
        <w:tc>
          <w:tcPr>
            <w:tcW w:w="1200" w:type="pct"/>
            <w:shd w:val="clear" w:color="auto" w:fill="E7F0F9"/>
          </w:tcPr>
          <w:p>
            <w:pPr>
              <w:spacing w:before="0" w:after="0" w:line="240" w:lineRule="auto"/>
              <w:jc w:val="left"/>
            </w:pPr>
            <w:r>
              <w:rPr>
                <w:b/>
              </w:rPr>
              <w:t xml:space="preserve">RKP broj</w:t>
            </w:r>
          </w:p>
        </w:tc>
        <w:tc>
          <w:tcPr>
            <w:shd w:val="clear" w:color="auto" w:fill="E7F0F9"/>
          </w:tcPr>
          <w:p>
            <w:pPr>
              <w:spacing w:before="0" w:after="0" w:line="240" w:lineRule="auto"/>
              <w:jc w:val="left"/>
            </w:pPr>
            <w:r>
              <w:t xml:space="preserve">13633</w:t>
            </w:r>
          </w:p>
        </w:tc>
      </w:tr>
      <w:tr>
        <w:tc>
          <w:tcPr>
            <w:tcW w:w="1200" w:type="pct"/>
            <w:shd w:val="clear" w:color="auto" w:fill="E7F0F9"/>
          </w:tcPr>
          <w:p>
            <w:pPr>
              <w:spacing w:before="0" w:after="0" w:line="240" w:lineRule="auto"/>
              <w:jc w:val="left"/>
            </w:pPr>
            <w:r>
              <w:rPr>
                <w:b/>
              </w:rPr>
              <w:t xml:space="preserve">Naziv obveznika</w:t>
            </w:r>
          </w:p>
        </w:tc>
        <w:tc>
          <w:tcPr>
            <w:shd w:val="clear" w:color="auto" w:fill="E7F0F9"/>
          </w:tcPr>
          <w:p>
            <w:pPr>
              <w:spacing w:before="0" w:after="0" w:line="240" w:lineRule="auto"/>
              <w:jc w:val="left"/>
            </w:pPr>
            <w:r>
              <w:t xml:space="preserve">OSNOVNA ŠKOLA SVETI MARTIN NA MURI</w:t>
            </w:r>
          </w:p>
        </w:tc>
      </w:tr>
      <w:tr>
        <w:tc>
          <w:tcPr>
            <w:tcW w:w="1200" w:type="pct"/>
            <w:shd w:val="clear" w:color="auto" w:fill="E7F0F9"/>
          </w:tcPr>
          <w:p>
            <w:pPr>
              <w:spacing w:before="0" w:after="0" w:line="240" w:lineRule="auto"/>
              <w:jc w:val="left"/>
            </w:pPr>
            <w:r>
              <w:rPr>
                <w:b/>
              </w:rPr>
              <w:t xml:space="preserve">Razina</w:t>
            </w:r>
          </w:p>
        </w:tc>
        <w:tc>
          <w:tcPr>
            <w:shd w:val="clear" w:color="auto" w:fill="E7F0F9"/>
          </w:tcPr>
          <w:p>
            <w:pPr>
              <w:spacing w:before="0" w:after="0" w:line="240" w:lineRule="auto"/>
              <w:jc w:val="left"/>
            </w:pPr>
            <w:r>
              <w:t xml:space="preserve">31</w:t>
            </w:r>
          </w:p>
        </w:tc>
      </w:tr>
    </w:tbl>
    <w:p>
      <w:r>
        <w:br/>
      </w:r>
    </w:p>
    <w:p>
      <w:pPr>
        <w:jc w:val="center"/>
        <w:pStyle w:val="Normal"/>
        <w:spacing w:line="240" w:lineRule="auto"/>
      </w:pPr>
      <w:r>
        <w:rPr>
          <w:b/>
          <w:sz w:val="28"/>
          <w:rFonts w:ascii="Times New Roman" w:hAnsi="Times New Roman"/>
        </w:rPr>
        <w:t xml:space="preserve">BILJEŠKE UZ FINANCIJSKE IZVJEŠTAJE</w:t>
      </w:r>
    </w:p>
    <w:p>
      <w:pPr>
        <w:jc w:val="center"/>
        <w:pStyle w:val="Normal"/>
        <w:spacing w:line="240" w:lineRule="auto"/>
      </w:pPr>
      <w:r>
        <w:rPr>
          <w:b/>
          <w:sz w:val="28"/>
          <w:rFonts w:ascii="Times New Roman" w:hAnsi="Times New Roman"/>
        </w:rPr>
        <w:t xml:space="preserve">ZA RAZDOBLJE</w:t>
      </w:r>
    </w:p>
    <w:p>
      <w:pPr>
        <w:jc w:val="center"/>
        <w:pStyle w:val="Normal"/>
        <w:spacing w:line="240" w:lineRule="auto"/>
      </w:pPr>
      <w:r>
        <w:rPr>
          <w:b/>
          <w:sz w:val="28"/>
          <w:rFonts w:ascii="Times New Roman" w:hAnsi="Times New Roman"/>
        </w:rPr>
        <w:t xml:space="preserve">I - XII 2025.</w:t>
      </w:r>
    </w:p>
    <w:p/>
    <w:p>
      <w:pPr>
        <w:jc w:val="center"/>
        <w:pStyle w:val="Normal"/>
        <w:spacing w:line="240" w:lineRule="auto"/>
        <w:keepNext/>
      </w:pPr>
      <w:r>
        <w:rPr>
          <w:b/>
          <w:sz w:val="28"/>
          <w:rFonts w:ascii="Times New Roman" w:hAnsi="Times New Roman"/>
        </w:rPr>
        <w:t xml:space="preserve">Izvještaj o prihodima i rashodima, primicima i izdacima</w:t>
      </w:r>
    </w:p>
    <w:p>
      <w:pPr>
        <w:jc w:val="center"/>
        <w:pStyle w:val="Normal"/>
        <w:spacing w:line="240" w:lineRule="auto"/>
        <w:keepNext/>
      </w:pPr>
      <w:r>
        <w:rPr>
          <w:sz w:val="28"/>
          <w:rFonts w:ascii="Times New Roman" w:hAnsi="Times New Roman"/>
        </w:rPr>
        <w:t xml:space="preserve">Bilješka 1.</w:t>
      </w:r>
    </w:p>
    <w:tbl>
      <w:tblPr>
        <w:tblBorders>
          <w:top w:val="single" w:color="BABABA" w:sz="12"/>
          <w:bottom w:val="single" w:color="BABABA" w:sz="12"/>
          <w:left w:val="single" w:color="BABABA" w:sz="12"/>
          <w:right w:val="single" w:color="BABABA" w:sz="12"/>
          <w:insideH w:val="single" w:color="BABABA" w:sz="8"/>
          <w:insideV w:val="single" w:color="DADADA" w:sz="8"/>
        </w:tblBorders>
        <w:tblW w:w="0" w:type="auto"/>
        <w:tblLayout w:type="fixed"/>
        <w:tblCellMar>
          <w:left w:w="40" w:type="dxa"/>
          <w:right w:w="40" w:type="dxa"/>
        </w:tblCellMar>
      </w:tblPr>
      <w:tblGrid>
        <w:gridCol w:w="700"/>
        <w:gridCol w:w="3180"/>
        <w:gridCol w:w="700"/>
        <w:gridCol w:w="1860"/>
        <w:gridCol w:w="1860"/>
        <w:gridCol w:w="700"/>
      </w:tblGrid>
      <w:tr>
        <w:trPr>
          <w:cantSplit/>
        </w:trPr>
        <w:tc>
          <w:tcPr>
            <w:shd w:val="clear" w:color="auto" w:fill="E7F0F9"/>
            <w:tcMar>
              <w:top w:w="0" w:type="dxa"/>
              <w:bottom w:w="0" w:type="dxa"/>
            </w:tcMar>
            <w:vAlign w:val="center"/>
          </w:tcPr>
          <w:p>
            <w:pPr>
              <w:jc w:val="center"/>
              <w:pStyle w:val="Normal"/>
              <w:spacing w:before="0" w:after="0" w:line="240" w:lineRule="auto"/>
              <w:keepNext/>
              <w:keepLines/>
            </w:pPr>
            <w:r>
              <w:rPr>
                <w:sz w:val="18"/>
                <w:rFonts w:ascii="Times New Roman" w:hAnsi="Times New Roman"/>
                <w:b/>
              </w:rPr>
              <w:t>Račun iz rač. plana</w:t>
            </w:r>
          </w:p>
        </w:tc>
        <w:tc>
          <w:tcPr>
            <w:shd w:val="clear" w:color="auto" w:fill="E7F0F9"/>
            <w:tcMar>
              <w:top w:w="0" w:type="dxa"/>
              <w:bottom w:w="0" w:type="dxa"/>
            </w:tcMar>
            <w:vAlign w:val="center"/>
          </w:tcPr>
          <w:p>
            <w:pPr>
              <w:jc w:val="center"/>
              <w:pStyle w:val="Normal"/>
              <w:spacing w:before="0" w:after="0" w:line="240" w:lineRule="auto"/>
              <w:keepNext/>
              <w:keepLines/>
            </w:pPr>
            <w:r>
              <w:rPr>
                <w:sz w:val="18"/>
                <w:rFonts w:ascii="Times New Roman" w:hAnsi="Times New Roman"/>
                <w:b/>
              </w:rPr>
              <w:t>Opis stavke</w:t>
            </w:r>
          </w:p>
        </w:tc>
        <w:tc>
          <w:tcPr>
            <w:shd w:val="clear" w:color="auto" w:fill="E7F0F9"/>
            <w:tcMar>
              <w:top w:w="0" w:type="dxa"/>
              <w:bottom w:w="0" w:type="dxa"/>
            </w:tcMar>
            <w:vAlign w:val="center"/>
          </w:tcPr>
          <w:p>
            <w:pPr>
              <w:jc w:val="center"/>
              <w:pStyle w:val="Normal"/>
              <w:spacing w:before="0" w:after="0" w:line="240" w:lineRule="auto"/>
              <w:keepNext/>
              <w:keepLines/>
            </w:pPr>
            <w:r>
              <w:rPr>
                <w:sz w:val="18"/>
                <w:rFonts w:ascii="Times New Roman" w:hAnsi="Times New Roman"/>
                <w:b/>
              </w:rPr>
              <w:t>Šifra</w:t>
            </w:r>
          </w:p>
        </w:tc>
        <w:tc>
          <w:tcPr>
            <w:shd w:val="clear" w:color="auto" w:fill="E7F0F9"/>
            <w:tcMar>
              <w:top w:w="0" w:type="dxa"/>
              <w:bottom w:w="0" w:type="dxa"/>
            </w:tcMar>
            <w:vAlign w:val="center"/>
          </w:tcPr>
          <w:p>
            <w:pPr>
              <w:jc w:val="center"/>
              <w:pStyle w:val="Normal"/>
              <w:spacing w:before="0" w:after="0" w:line="240" w:lineRule="auto"/>
              <w:keepNext/>
              <w:keepLines/>
            </w:pPr>
            <w:r>
              <w:rPr>
                <w:sz w:val="18"/>
                <w:rFonts w:ascii="Times New Roman" w:hAnsi="Times New Roman"/>
                <w:b/>
              </w:rPr>
              <w:t>Ostvareno u izvještajnom razdoblju prethodne godine</w:t>
            </w:r>
          </w:p>
        </w:tc>
        <w:tc>
          <w:tcPr>
            <w:shd w:val="clear" w:color="auto" w:fill="E7F0F9"/>
            <w:tcMar>
              <w:top w:w="0" w:type="dxa"/>
              <w:bottom w:w="0" w:type="dxa"/>
            </w:tcMar>
            <w:vAlign w:val="center"/>
          </w:tcPr>
          <w:p>
            <w:pPr>
              <w:jc w:val="center"/>
              <w:pStyle w:val="Normal"/>
              <w:spacing w:before="0" w:after="0" w:line="240" w:lineRule="auto"/>
              <w:keepNext/>
              <w:keepLines/>
            </w:pPr>
            <w:r>
              <w:rPr>
                <w:sz w:val="18"/>
                <w:rFonts w:ascii="Times New Roman" w:hAnsi="Times New Roman"/>
                <w:b/>
              </w:rPr>
              <w:t>Ostvareno u izvještajnom razdoblju tekuće godine</w:t>
            </w:r>
          </w:p>
        </w:tc>
        <w:tc>
          <w:tcPr>
            <w:shd w:val="clear" w:color="auto" w:fill="E7F0F9"/>
            <w:tcMar>
              <w:top w:w="0" w:type="dxa"/>
              <w:bottom w:w="0" w:type="dxa"/>
            </w:tcMar>
            <w:vAlign w:val="center"/>
          </w:tcPr>
          <w:p>
            <w:pPr>
              <w:jc w:val="center"/>
              <w:pStyle w:val="Normal"/>
              <w:spacing w:before="0" w:after="0" w:line="240" w:lineRule="auto"/>
              <w:keepNext/>
              <w:keepLines/>
            </w:pPr>
            <w:r>
              <w:rPr>
                <w:sz w:val="18"/>
                <w:rFonts w:ascii="Times New Roman" w:hAnsi="Times New Roman"/>
                <w:b/>
              </w:rPr>
              <w:t>Indeks (%)</w:t>
            </w:r>
          </w:p>
        </w:tc>
      </w:tr>
      <w:tr>
        <w:trPr>
          <w:trHeight w:val="560" w:hRule="atLeast"/>
          <w:cantSplit/>
        </w:trPr>
        <w:tc>
          <w:tcPr>
            <w:tcMar>
              <w:top w:w="0" w:type="dxa"/>
              <w:bottom w:w="0" w:type="dxa"/>
            </w:tcMar>
            <w:vAlign w:val="center"/>
          </w:tcPr>
          <w:p>
            <w:pPr>
              <w:jc w:val="left"/>
              <w:pStyle w:val="Normal"/>
              <w:spacing w:before="0" w:after="0" w:line="240" w:lineRule="auto"/>
              <w:keepNext/>
              <w:keepLines/>
            </w:pPr>
            <w:r>
              <w:rPr>
                <w:sz w:val="18"/>
                <w:rFonts w:ascii="Times New Roman" w:hAnsi="Times New Roman"/>
              </w:rPr>
              <w:t>6</w:t>
            </w:r>
          </w:p>
        </w:tc>
        <w:tc>
          <w:tcPr>
            <w:tcMar>
              <w:top w:w="0" w:type="dxa"/>
              <w:bottom w:w="0" w:type="dxa"/>
            </w:tcMar>
            <w:vAlign w:val="center"/>
          </w:tcPr>
          <w:p>
            <w:pPr>
              <w:jc w:val="left"/>
              <w:pStyle w:val="Normal"/>
              <w:spacing w:before="0" w:after="0" w:line="240" w:lineRule="auto"/>
              <w:keepNext/>
              <w:keepLines/>
            </w:pPr>
            <w:r>
              <w:rPr>
                <w:sz w:val="18"/>
                <w:rFonts w:ascii="Times New Roman" w:hAnsi="Times New Roman"/>
              </w:rPr>
              <w:t>PRIHODI POSLOVANJA (šifre 61+62+63+64+65+66+67+68)</w:t>
            </w:r>
          </w:p>
        </w:tc>
        <w:tc>
          <w:tcPr>
            <w:tcMar>
              <w:top w:w="0" w:type="dxa"/>
              <w:bottom w:w="0" w:type="dxa"/>
            </w:tcMar>
            <w:vAlign w:val="center"/>
          </w:tcPr>
          <w:p>
            <w:pPr>
              <w:jc w:val="left"/>
              <w:pStyle w:val="Normal"/>
              <w:spacing w:before="0" w:after="0" w:line="240" w:lineRule="auto"/>
              <w:keepNext/>
              <w:keepLines/>
            </w:pPr>
            <w:r>
              <w:rPr>
                <w:sz w:val="18"/>
                <w:rFonts w:ascii="Times New Roman" w:hAnsi="Times New Roman"/>
              </w:rPr>
              <w:t>6</w:t>
            </w:r>
          </w:p>
        </w:tc>
        <w:tc>
          <w:tcPr>
            <w:tcMar>
              <w:top w:w="0" w:type="dxa"/>
              <w:bottom w:w="0" w:type="dxa"/>
            </w:tcMar>
            <w:vAlign w:val="center"/>
          </w:tcPr>
          <w:p>
            <w:pPr>
              <w:jc w:val="right"/>
              <w:pStyle w:val="Normal"/>
              <w:spacing w:before="0" w:after="0" w:line="240" w:lineRule="auto"/>
              <w:keepNext/>
              <w:keepLines/>
            </w:pPr>
            <w:r>
              <w:rPr>
                <w:sz w:val="18"/>
                <w:rFonts w:ascii="Times New Roman" w:hAnsi="Times New Roman"/>
              </w:rPr>
              <w:t>1.051.755,85</w:t>
            </w:r>
          </w:p>
        </w:tc>
        <w:tc>
          <w:tcPr>
            <w:tcMar>
              <w:top w:w="0" w:type="dxa"/>
              <w:bottom w:w="0" w:type="dxa"/>
            </w:tcMar>
            <w:vAlign w:val="center"/>
          </w:tcPr>
          <w:p>
            <w:pPr>
              <w:jc w:val="right"/>
              <w:pStyle w:val="Normal"/>
              <w:spacing w:before="0" w:after="0" w:line="240" w:lineRule="auto"/>
              <w:keepNext/>
              <w:keepLines/>
            </w:pPr>
            <w:r>
              <w:rPr>
                <w:sz w:val="18"/>
                <w:rFonts w:ascii="Times New Roman" w:hAnsi="Times New Roman"/>
              </w:rPr>
              <w:t>1.115.955,06</w:t>
            </w:r>
          </w:p>
        </w:tc>
        <w:tc>
          <w:tcPr>
            <w:tcMar>
              <w:top w:w="0" w:type="dxa"/>
              <w:bottom w:w="0" w:type="dxa"/>
            </w:tcMar>
            <w:vAlign w:val="center"/>
          </w:tcPr>
          <w:p>
            <w:pPr>
              <w:jc w:val="right"/>
              <w:pStyle w:val="Normal"/>
              <w:spacing w:before="0" w:after="0" w:line="240" w:lineRule="auto"/>
              <w:keepNext/>
              <w:keepLines/>
            </w:pPr>
            <w:r>
              <w:rPr>
                <w:sz w:val="18"/>
                <w:rFonts w:ascii="Times New Roman" w:hAnsi="Times New Roman"/>
              </w:rPr>
              <w:t>106,1</w:t>
            </w:r>
          </w:p>
        </w:tc>
      </w:tr>
      <w:tr>
        <w:trPr>
          <w:trHeight w:val="560" w:hRule="atLeast"/>
          <w:cantSplit/>
        </w:trPr>
        <w:tc>
          <w:tcPr>
            <w:tcMar>
              <w:top w:w="0" w:type="dxa"/>
              <w:bottom w:w="0" w:type="dxa"/>
            </w:tcMar>
            <w:vAlign w:val="center"/>
          </w:tcPr>
          <w:p>
            <w:pPr>
              <w:jc w:val="left"/>
              <w:pStyle w:val="Normal"/>
              <w:spacing w:before="0" w:after="0" w:line="240" w:lineRule="auto"/>
              <w:keepNext/>
              <w:keepLines/>
            </w:pPr>
            <w:r>
              <w:rPr>
                <w:sz w:val="18"/>
                <w:rFonts w:ascii="Times New Roman" w:hAnsi="Times New Roman"/>
              </w:rPr>
              <w:t>3</w:t>
            </w:r>
          </w:p>
        </w:tc>
        <w:tc>
          <w:tcPr>
            <w:tcMar>
              <w:top w:w="0" w:type="dxa"/>
              <w:bottom w:w="0" w:type="dxa"/>
            </w:tcMar>
            <w:vAlign w:val="center"/>
          </w:tcPr>
          <w:p>
            <w:pPr>
              <w:jc w:val="left"/>
              <w:pStyle w:val="Normal"/>
              <w:spacing w:before="0" w:after="0" w:line="240" w:lineRule="auto"/>
              <w:keepNext/>
              <w:keepLines/>
            </w:pPr>
            <w:r>
              <w:rPr>
                <w:sz w:val="18"/>
                <w:rFonts w:ascii="Times New Roman" w:hAnsi="Times New Roman"/>
              </w:rPr>
              <w:t>RASHODI POSLOVANJA (šifre 31+32+34+35+36+37+38) </w:t>
            </w:r>
          </w:p>
        </w:tc>
        <w:tc>
          <w:tcPr>
            <w:tcMar>
              <w:top w:w="0" w:type="dxa"/>
              <w:bottom w:w="0" w:type="dxa"/>
            </w:tcMar>
            <w:vAlign w:val="center"/>
          </w:tcPr>
          <w:p>
            <w:pPr>
              <w:jc w:val="left"/>
              <w:pStyle w:val="Normal"/>
              <w:spacing w:before="0" w:after="0" w:line="240" w:lineRule="auto"/>
              <w:keepNext/>
              <w:keepLines/>
            </w:pPr>
            <w:r>
              <w:rPr>
                <w:sz w:val="18"/>
                <w:rFonts w:ascii="Times New Roman" w:hAnsi="Times New Roman"/>
              </w:rPr>
              <w:t>3</w:t>
            </w:r>
          </w:p>
        </w:tc>
        <w:tc>
          <w:tcPr>
            <w:tcMar>
              <w:top w:w="0" w:type="dxa"/>
              <w:bottom w:w="0" w:type="dxa"/>
            </w:tcMar>
            <w:vAlign w:val="center"/>
          </w:tcPr>
          <w:p>
            <w:pPr>
              <w:jc w:val="right"/>
              <w:pStyle w:val="Normal"/>
              <w:spacing w:before="0" w:after="0" w:line="240" w:lineRule="auto"/>
              <w:keepNext/>
              <w:keepLines/>
            </w:pPr>
            <w:r>
              <w:rPr>
                <w:sz w:val="18"/>
                <w:rFonts w:ascii="Times New Roman" w:hAnsi="Times New Roman"/>
              </w:rPr>
              <w:t>1.047.710,41</w:t>
            </w:r>
          </w:p>
        </w:tc>
        <w:tc>
          <w:tcPr>
            <w:tcMar>
              <w:top w:w="0" w:type="dxa"/>
              <w:bottom w:w="0" w:type="dxa"/>
            </w:tcMar>
            <w:vAlign w:val="center"/>
          </w:tcPr>
          <w:p>
            <w:pPr>
              <w:jc w:val="right"/>
              <w:pStyle w:val="Normal"/>
              <w:spacing w:before="0" w:after="0" w:line="240" w:lineRule="auto"/>
              <w:keepNext/>
              <w:keepLines/>
            </w:pPr>
            <w:r>
              <w:rPr>
                <w:sz w:val="18"/>
                <w:rFonts w:ascii="Times New Roman" w:hAnsi="Times New Roman"/>
              </w:rPr>
              <w:t>1.167.471,71</w:t>
            </w:r>
          </w:p>
        </w:tc>
        <w:tc>
          <w:tcPr>
            <w:tcMar>
              <w:top w:w="0" w:type="dxa"/>
              <w:bottom w:w="0" w:type="dxa"/>
            </w:tcMar>
            <w:vAlign w:val="center"/>
          </w:tcPr>
          <w:p>
            <w:pPr>
              <w:jc w:val="right"/>
              <w:pStyle w:val="Normal"/>
              <w:spacing w:before="0" w:after="0" w:line="240" w:lineRule="auto"/>
              <w:keepNext/>
              <w:keepLines/>
            </w:pPr>
            <w:r>
              <w:rPr>
                <w:sz w:val="18"/>
                <w:rFonts w:ascii="Times New Roman" w:hAnsi="Times New Roman"/>
              </w:rPr>
              <w:t>111,4</w:t>
            </w:r>
          </w:p>
        </w:tc>
      </w:tr>
      <w:tr>
        <w:trPr>
          <w:trHeight w:val="560" w:hRule="atLeast"/>
          <w:cantSplit/>
        </w:trPr>
        <w:tc>
          <w:tcPr>
            <w:tcMar>
              <w:top w:w="0" w:type="dxa"/>
              <w:bottom w:w="0" w:type="dxa"/>
            </w:tcMar>
            <w:vAlign w:val="center"/>
          </w:tcPr>
          <w:p>
            <w:pPr>
              <w:jc w:val="left"/>
              <w:pStyle w:val="Normal"/>
              <w:spacing w:before="0" w:after="0" w:line="240" w:lineRule="auto"/>
              <w:keepNext/>
              <w:keepLines/>
            </w:pPr>
            <w:r>
              <w:rPr>
                <w:sz w:val="18"/>
                <w:rFonts w:ascii="Times New Roman" w:hAnsi="Times New Roman"/>
                <w:b/>
              </w:rPr>
              <w:t> </w:t>
            </w:r>
          </w:p>
        </w:tc>
        <w:tc>
          <w:tcPr>
            <w:tcMar>
              <w:top w:w="0" w:type="dxa"/>
              <w:bottom w:w="0" w:type="dxa"/>
            </w:tcMar>
            <w:vAlign w:val="center"/>
          </w:tcPr>
          <w:p>
            <w:pPr>
              <w:jc w:val="left"/>
              <w:pStyle w:val="Normal"/>
              <w:spacing w:before="0" w:after="0" w:line="240" w:lineRule="auto"/>
              <w:keepNext/>
              <w:keepLines/>
            </w:pPr>
            <w:r>
              <w:rPr>
                <w:sz w:val="18"/>
                <w:rFonts w:ascii="Times New Roman" w:hAnsi="Times New Roman"/>
                <w:b/>
              </w:rPr>
              <w:t>MANJAK PRIHODA POSLOVANJA (šifre Z005-6)</w:t>
            </w:r>
          </w:p>
        </w:tc>
        <w:tc>
          <w:tcPr>
            <w:tcMar>
              <w:top w:w="0" w:type="dxa"/>
              <w:bottom w:w="0" w:type="dxa"/>
            </w:tcMar>
            <w:vAlign w:val="center"/>
          </w:tcPr>
          <w:p>
            <w:pPr>
              <w:jc w:val="left"/>
              <w:pStyle w:val="Normal"/>
              <w:spacing w:before="0" w:after="0" w:line="240" w:lineRule="auto"/>
              <w:keepNext/>
              <w:keepLines/>
            </w:pPr>
            <w:r>
              <w:rPr>
                <w:sz w:val="18"/>
                <w:rFonts w:ascii="Times New Roman" w:hAnsi="Times New Roman"/>
                <w:b/>
              </w:rPr>
              <w:t>Y001</w:t>
            </w:r>
          </w:p>
        </w:tc>
        <w:tc>
          <w:tcPr>
            <w:tcMar>
              <w:top w:w="0" w:type="dxa"/>
              <w:bottom w:w="0" w:type="dxa"/>
            </w:tcMar>
            <w:vAlign w:val="center"/>
          </w:tcPr>
          <w:p>
            <w:pPr>
              <w:jc w:val="right"/>
              <w:pStyle w:val="Normal"/>
              <w:spacing w:before="0" w:after="0" w:line="240" w:lineRule="auto"/>
              <w:keepNext/>
              <w:keepLines/>
            </w:pPr>
            <w:r>
              <w:rPr>
                <w:sz w:val="18"/>
                <w:rFonts w:ascii="Times New Roman" w:hAnsi="Times New Roman"/>
                <w:b/>
              </w:rPr>
              <w:t>0,00</w:t>
            </w:r>
          </w:p>
        </w:tc>
        <w:tc>
          <w:tcPr>
            <w:tcMar>
              <w:top w:w="0" w:type="dxa"/>
              <w:bottom w:w="0" w:type="dxa"/>
            </w:tcMar>
            <w:vAlign w:val="center"/>
          </w:tcPr>
          <w:p>
            <w:pPr>
              <w:jc w:val="right"/>
              <w:pStyle w:val="Normal"/>
              <w:spacing w:before="0" w:after="0" w:line="240" w:lineRule="auto"/>
              <w:keepNext/>
              <w:keepLines/>
            </w:pPr>
            <w:r>
              <w:rPr>
                <w:sz w:val="18"/>
                <w:rFonts w:ascii="Times New Roman" w:hAnsi="Times New Roman"/>
                <w:b/>
              </w:rPr>
              <w:t>51.516,65</w:t>
            </w:r>
          </w:p>
        </w:tc>
        <w:tc>
          <w:tcPr>
            <w:tcMar>
              <w:top w:w="0" w:type="dxa"/>
              <w:bottom w:w="0" w:type="dxa"/>
            </w:tcMar>
            <w:vAlign w:val="center"/>
          </w:tcPr>
          <w:p>
            <w:pPr>
              <w:jc w:val="right"/>
              <w:pStyle w:val="Normal"/>
              <w:spacing w:before="0" w:after="0" w:line="240" w:lineRule="auto"/>
              <w:keepNext/>
              <w:keepLines/>
            </w:pPr>
            <w:r>
              <w:rPr>
                <w:sz w:val="18"/>
                <w:rFonts w:ascii="Times New Roman" w:hAnsi="Times New Roman"/>
                <w:b/>
              </w:rPr>
              <w:t>-</w:t>
            </w:r>
          </w:p>
        </w:tc>
      </w:tr>
      <w:tr>
        <w:trPr>
          <w:trHeight w:val="560" w:hRule="atLeast"/>
          <w:cantSplit/>
        </w:trPr>
        <w:tc>
          <w:tcPr>
            <w:tcMar>
              <w:top w:w="0" w:type="dxa"/>
              <w:bottom w:w="0" w:type="dxa"/>
            </w:tcMar>
            <w:vAlign w:val="center"/>
          </w:tcPr>
          <w:p>
            <w:pPr>
              <w:jc w:val="left"/>
              <w:pStyle w:val="Normal"/>
              <w:spacing w:before="0" w:after="0" w:line="240" w:lineRule="auto"/>
              <w:keepNext/>
              <w:keepLines/>
            </w:pPr>
            <w:r>
              <w:rPr>
                <w:sz w:val="18"/>
                <w:rFonts w:ascii="Times New Roman" w:hAnsi="Times New Roman"/>
              </w:rPr>
              <w:t>7</w:t>
            </w:r>
          </w:p>
        </w:tc>
        <w:tc>
          <w:tcPr>
            <w:tcMar>
              <w:top w:w="0" w:type="dxa"/>
              <w:bottom w:w="0" w:type="dxa"/>
            </w:tcMar>
            <w:vAlign w:val="center"/>
          </w:tcPr>
          <w:p>
            <w:pPr>
              <w:jc w:val="left"/>
              <w:pStyle w:val="Normal"/>
              <w:spacing w:before="0" w:after="0" w:line="240" w:lineRule="auto"/>
              <w:keepNext/>
              <w:keepLines/>
            </w:pPr>
            <w:r>
              <w:rPr>
                <w:sz w:val="18"/>
                <w:rFonts w:ascii="Times New Roman" w:hAnsi="Times New Roman"/>
              </w:rPr>
              <w:t>Prihodi od prodaje nefinancijske imovine (šifre 71+72+73+74)</w:t>
            </w:r>
          </w:p>
        </w:tc>
        <w:tc>
          <w:tcPr>
            <w:tcMar>
              <w:top w:w="0" w:type="dxa"/>
              <w:bottom w:w="0" w:type="dxa"/>
            </w:tcMar>
            <w:vAlign w:val="center"/>
          </w:tcPr>
          <w:p>
            <w:pPr>
              <w:jc w:val="left"/>
              <w:pStyle w:val="Normal"/>
              <w:spacing w:before="0" w:after="0" w:line="240" w:lineRule="auto"/>
              <w:keepNext/>
              <w:keepLines/>
            </w:pPr>
            <w:r>
              <w:rPr>
                <w:sz w:val="18"/>
                <w:rFonts w:ascii="Times New Roman" w:hAnsi="Times New Roman"/>
              </w:rPr>
              <w:t>7</w:t>
            </w:r>
          </w:p>
        </w:tc>
        <w:tc>
          <w:tcPr>
            <w:tcMar>
              <w:top w:w="0" w:type="dxa"/>
              <w:bottom w:w="0" w:type="dxa"/>
            </w:tcMar>
            <w:vAlign w:val="center"/>
          </w:tcPr>
          <w:p>
            <w:pPr>
              <w:jc w:val="right"/>
              <w:pStyle w:val="Normal"/>
              <w:spacing w:before="0" w:after="0" w:line="240" w:lineRule="auto"/>
              <w:keepNext/>
              <w:keepLines/>
            </w:pPr>
            <w:r>
              <w:rPr>
                <w:sz w:val="18"/>
                <w:rFonts w:ascii="Times New Roman" w:hAnsi="Times New Roman"/>
              </w:rPr>
              <w:t>0,00</w:t>
            </w:r>
          </w:p>
        </w:tc>
        <w:tc>
          <w:tcPr>
            <w:tcMar>
              <w:top w:w="0" w:type="dxa"/>
              <w:bottom w:w="0" w:type="dxa"/>
            </w:tcMar>
            <w:vAlign w:val="center"/>
          </w:tcPr>
          <w:p>
            <w:pPr>
              <w:jc w:val="right"/>
              <w:pStyle w:val="Normal"/>
              <w:spacing w:before="0" w:after="0" w:line="240" w:lineRule="auto"/>
              <w:keepNext/>
              <w:keepLines/>
            </w:pPr>
            <w:r>
              <w:rPr>
                <w:sz w:val="18"/>
                <w:rFonts w:ascii="Times New Roman" w:hAnsi="Times New Roman"/>
              </w:rPr>
              <w:t>0,00</w:t>
            </w:r>
          </w:p>
        </w:tc>
        <w:tc>
          <w:tcPr>
            <w:tcMar>
              <w:top w:w="0" w:type="dxa"/>
              <w:bottom w:w="0" w:type="dxa"/>
            </w:tcMar>
            <w:vAlign w:val="center"/>
          </w:tcPr>
          <w:p>
            <w:pPr>
              <w:jc w:val="right"/>
              <w:pStyle w:val="Normal"/>
              <w:spacing w:before="0" w:after="0" w:line="240" w:lineRule="auto"/>
              <w:keepNext/>
              <w:keepLines/>
            </w:pPr>
            <w:r>
              <w:rPr>
                <w:sz w:val="18"/>
                <w:rFonts w:ascii="Times New Roman" w:hAnsi="Times New Roman"/>
              </w:rPr>
              <w:t>-</w:t>
            </w:r>
          </w:p>
        </w:tc>
      </w:tr>
      <w:tr>
        <w:trPr>
          <w:trHeight w:val="560" w:hRule="atLeast"/>
          <w:cantSplit/>
        </w:trPr>
        <w:tc>
          <w:tcPr>
            <w:tcMar>
              <w:top w:w="0" w:type="dxa"/>
              <w:bottom w:w="0" w:type="dxa"/>
            </w:tcMar>
            <w:vAlign w:val="center"/>
          </w:tcPr>
          <w:p>
            <w:pPr>
              <w:jc w:val="left"/>
              <w:pStyle w:val="Normal"/>
              <w:spacing w:before="0" w:after="0" w:line="240" w:lineRule="auto"/>
              <w:keepNext/>
              <w:keepLines/>
            </w:pPr>
            <w:r>
              <w:rPr>
                <w:sz w:val="18"/>
                <w:rFonts w:ascii="Times New Roman" w:hAnsi="Times New Roman"/>
              </w:rPr>
              <w:t>4</w:t>
            </w:r>
          </w:p>
        </w:tc>
        <w:tc>
          <w:tcPr>
            <w:tcMar>
              <w:top w:w="0" w:type="dxa"/>
              <w:bottom w:w="0" w:type="dxa"/>
            </w:tcMar>
            <w:vAlign w:val="center"/>
          </w:tcPr>
          <w:p>
            <w:pPr>
              <w:jc w:val="left"/>
              <w:pStyle w:val="Normal"/>
              <w:spacing w:before="0" w:after="0" w:line="240" w:lineRule="auto"/>
              <w:keepNext/>
              <w:keepLines/>
            </w:pPr>
            <w:r>
              <w:rPr>
                <w:sz w:val="18"/>
                <w:rFonts w:ascii="Times New Roman" w:hAnsi="Times New Roman"/>
              </w:rPr>
              <w:t>Rashodi za nabavu nefinancijske imovine (šifre 41+42+43+44+45)</w:t>
            </w:r>
          </w:p>
        </w:tc>
        <w:tc>
          <w:tcPr>
            <w:tcMar>
              <w:top w:w="0" w:type="dxa"/>
              <w:bottom w:w="0" w:type="dxa"/>
            </w:tcMar>
            <w:vAlign w:val="center"/>
          </w:tcPr>
          <w:p>
            <w:pPr>
              <w:jc w:val="left"/>
              <w:pStyle w:val="Normal"/>
              <w:spacing w:before="0" w:after="0" w:line="240" w:lineRule="auto"/>
              <w:keepNext/>
              <w:keepLines/>
            </w:pPr>
            <w:r>
              <w:rPr>
                <w:sz w:val="18"/>
                <w:rFonts w:ascii="Times New Roman" w:hAnsi="Times New Roman"/>
              </w:rPr>
              <w:t>4</w:t>
            </w:r>
          </w:p>
        </w:tc>
        <w:tc>
          <w:tcPr>
            <w:tcMar>
              <w:top w:w="0" w:type="dxa"/>
              <w:bottom w:w="0" w:type="dxa"/>
            </w:tcMar>
            <w:vAlign w:val="center"/>
          </w:tcPr>
          <w:p>
            <w:pPr>
              <w:jc w:val="right"/>
              <w:pStyle w:val="Normal"/>
              <w:spacing w:before="0" w:after="0" w:line="240" w:lineRule="auto"/>
              <w:keepNext/>
              <w:keepLines/>
            </w:pPr>
            <w:r>
              <w:rPr>
                <w:sz w:val="18"/>
                <w:rFonts w:ascii="Times New Roman" w:hAnsi="Times New Roman"/>
              </w:rPr>
              <w:t>13.073,88</w:t>
            </w:r>
          </w:p>
        </w:tc>
        <w:tc>
          <w:tcPr>
            <w:tcMar>
              <w:top w:w="0" w:type="dxa"/>
              <w:bottom w:w="0" w:type="dxa"/>
            </w:tcMar>
            <w:vAlign w:val="center"/>
          </w:tcPr>
          <w:p>
            <w:pPr>
              <w:jc w:val="right"/>
              <w:pStyle w:val="Normal"/>
              <w:spacing w:before="0" w:after="0" w:line="240" w:lineRule="auto"/>
              <w:keepNext/>
              <w:keepLines/>
            </w:pPr>
            <w:r>
              <w:rPr>
                <w:sz w:val="18"/>
                <w:rFonts w:ascii="Times New Roman" w:hAnsi="Times New Roman"/>
              </w:rPr>
              <w:t>27.561,66</w:t>
            </w:r>
          </w:p>
        </w:tc>
        <w:tc>
          <w:tcPr>
            <w:tcMar>
              <w:top w:w="0" w:type="dxa"/>
              <w:bottom w:w="0" w:type="dxa"/>
            </w:tcMar>
            <w:vAlign w:val="center"/>
          </w:tcPr>
          <w:p>
            <w:pPr>
              <w:jc w:val="right"/>
              <w:pStyle w:val="Normal"/>
              <w:spacing w:before="0" w:after="0" w:line="240" w:lineRule="auto"/>
              <w:keepNext/>
              <w:keepLines/>
            </w:pPr>
            <w:r>
              <w:rPr>
                <w:sz w:val="18"/>
                <w:rFonts w:ascii="Times New Roman" w:hAnsi="Times New Roman"/>
              </w:rPr>
              <w:t>210,8</w:t>
            </w:r>
          </w:p>
        </w:tc>
      </w:tr>
      <w:tr>
        <w:trPr>
          <w:trHeight w:val="560" w:hRule="atLeast"/>
          <w:cantSplit/>
        </w:trPr>
        <w:tc>
          <w:tcPr>
            <w:tcMar>
              <w:top w:w="0" w:type="dxa"/>
              <w:bottom w:w="0" w:type="dxa"/>
            </w:tcMar>
            <w:vAlign w:val="center"/>
          </w:tcPr>
          <w:p>
            <w:pPr>
              <w:jc w:val="left"/>
              <w:pStyle w:val="Normal"/>
              <w:spacing w:before="0" w:after="0" w:line="240" w:lineRule="auto"/>
              <w:keepNext/>
              <w:keepLines/>
            </w:pPr>
            <w:r>
              <w:rPr>
                <w:sz w:val="18"/>
                <w:rFonts w:ascii="Times New Roman" w:hAnsi="Times New Roman"/>
                <w:b/>
              </w:rPr>
              <w:t> </w:t>
            </w:r>
          </w:p>
        </w:tc>
        <w:tc>
          <w:tcPr>
            <w:tcMar>
              <w:top w:w="0" w:type="dxa"/>
              <w:bottom w:w="0" w:type="dxa"/>
            </w:tcMar>
            <w:vAlign w:val="center"/>
          </w:tcPr>
          <w:p>
            <w:pPr>
              <w:jc w:val="left"/>
              <w:pStyle w:val="Normal"/>
              <w:spacing w:before="0" w:after="0" w:line="240" w:lineRule="auto"/>
              <w:keepNext/>
              <w:keepLines/>
            </w:pPr>
            <w:r>
              <w:rPr>
                <w:sz w:val="18"/>
                <w:rFonts w:ascii="Times New Roman" w:hAnsi="Times New Roman"/>
                <w:b/>
              </w:rPr>
              <w:t>MANJAK PRIHODA OD NEFINANCIJSKE IMOVINE (šifre 4-7)</w:t>
            </w:r>
          </w:p>
        </w:tc>
        <w:tc>
          <w:tcPr>
            <w:tcMar>
              <w:top w:w="0" w:type="dxa"/>
              <w:bottom w:w="0" w:type="dxa"/>
            </w:tcMar>
            <w:vAlign w:val="center"/>
          </w:tcPr>
          <w:p>
            <w:pPr>
              <w:jc w:val="left"/>
              <w:pStyle w:val="Normal"/>
              <w:spacing w:before="0" w:after="0" w:line="240" w:lineRule="auto"/>
              <w:keepNext/>
              <w:keepLines/>
            </w:pPr>
            <w:r>
              <w:rPr>
                <w:sz w:val="18"/>
                <w:rFonts w:ascii="Times New Roman" w:hAnsi="Times New Roman"/>
                <w:b/>
              </w:rPr>
              <w:t>Y002</w:t>
            </w:r>
          </w:p>
        </w:tc>
        <w:tc>
          <w:tcPr>
            <w:tcMar>
              <w:top w:w="0" w:type="dxa"/>
              <w:bottom w:w="0" w:type="dxa"/>
            </w:tcMar>
            <w:vAlign w:val="center"/>
          </w:tcPr>
          <w:p>
            <w:pPr>
              <w:jc w:val="right"/>
              <w:pStyle w:val="Normal"/>
              <w:spacing w:before="0" w:after="0" w:line="240" w:lineRule="auto"/>
              <w:keepNext/>
              <w:keepLines/>
            </w:pPr>
            <w:r>
              <w:rPr>
                <w:sz w:val="18"/>
                <w:rFonts w:ascii="Times New Roman" w:hAnsi="Times New Roman"/>
                <w:b/>
              </w:rPr>
              <w:t>13.073,88</w:t>
            </w:r>
          </w:p>
        </w:tc>
        <w:tc>
          <w:tcPr>
            <w:tcMar>
              <w:top w:w="0" w:type="dxa"/>
              <w:bottom w:w="0" w:type="dxa"/>
            </w:tcMar>
            <w:vAlign w:val="center"/>
          </w:tcPr>
          <w:p>
            <w:pPr>
              <w:jc w:val="right"/>
              <w:pStyle w:val="Normal"/>
              <w:spacing w:before="0" w:after="0" w:line="240" w:lineRule="auto"/>
              <w:keepNext/>
              <w:keepLines/>
            </w:pPr>
            <w:r>
              <w:rPr>
                <w:sz w:val="18"/>
                <w:rFonts w:ascii="Times New Roman" w:hAnsi="Times New Roman"/>
                <w:b/>
              </w:rPr>
              <w:t>27.561,66</w:t>
            </w:r>
          </w:p>
        </w:tc>
        <w:tc>
          <w:tcPr>
            <w:tcMar>
              <w:top w:w="0" w:type="dxa"/>
              <w:bottom w:w="0" w:type="dxa"/>
            </w:tcMar>
            <w:vAlign w:val="center"/>
          </w:tcPr>
          <w:p>
            <w:pPr>
              <w:jc w:val="right"/>
              <w:pStyle w:val="Normal"/>
              <w:spacing w:before="0" w:after="0" w:line="240" w:lineRule="auto"/>
              <w:keepNext/>
              <w:keepLines/>
            </w:pPr>
            <w:r>
              <w:rPr>
                <w:sz w:val="18"/>
                <w:rFonts w:ascii="Times New Roman" w:hAnsi="Times New Roman"/>
                <w:b/>
              </w:rPr>
              <w:t>210,8</w:t>
            </w:r>
          </w:p>
        </w:tc>
      </w:tr>
      <w:tr>
        <w:trPr>
          <w:trHeight w:val="560" w:hRule="atLeast"/>
          <w:cantSplit/>
        </w:trPr>
        <w:tc>
          <w:tcPr>
            <w:tcMar>
              <w:top w:w="0" w:type="dxa"/>
              <w:bottom w:w="0" w:type="dxa"/>
            </w:tcMar>
            <w:vAlign w:val="center"/>
          </w:tcPr>
          <w:p>
            <w:pPr>
              <w:jc w:val="left"/>
              <w:pStyle w:val="Normal"/>
              <w:spacing w:before="0" w:after="0" w:line="240" w:lineRule="auto"/>
              <w:keepNext/>
              <w:keepLines/>
            </w:pPr>
            <w:r>
              <w:rPr>
                <w:sz w:val="18"/>
                <w:rFonts w:ascii="Times New Roman" w:hAnsi="Times New Roman"/>
              </w:rPr>
              <w:t>8</w:t>
            </w:r>
          </w:p>
        </w:tc>
        <w:tc>
          <w:tcPr>
            <w:tcMar>
              <w:top w:w="0" w:type="dxa"/>
              <w:bottom w:w="0" w:type="dxa"/>
            </w:tcMar>
            <w:vAlign w:val="center"/>
          </w:tcPr>
          <w:p>
            <w:pPr>
              <w:jc w:val="left"/>
              <w:pStyle w:val="Normal"/>
              <w:spacing w:before="0" w:after="0" w:line="240" w:lineRule="auto"/>
              <w:keepNext/>
              <w:keepLines/>
            </w:pPr>
            <w:r>
              <w:rPr>
                <w:sz w:val="18"/>
                <w:rFonts w:ascii="Times New Roman" w:hAnsi="Times New Roman"/>
              </w:rPr>
              <w:t>Primici od financijske imovine i zaduživanja (šifre 81+82+83+84+85)</w:t>
            </w:r>
          </w:p>
        </w:tc>
        <w:tc>
          <w:tcPr>
            <w:tcMar>
              <w:top w:w="0" w:type="dxa"/>
              <w:bottom w:w="0" w:type="dxa"/>
            </w:tcMar>
            <w:vAlign w:val="center"/>
          </w:tcPr>
          <w:p>
            <w:pPr>
              <w:jc w:val="left"/>
              <w:pStyle w:val="Normal"/>
              <w:spacing w:before="0" w:after="0" w:line="240" w:lineRule="auto"/>
              <w:keepNext/>
              <w:keepLines/>
            </w:pPr>
            <w:r>
              <w:rPr>
                <w:sz w:val="18"/>
                <w:rFonts w:ascii="Times New Roman" w:hAnsi="Times New Roman"/>
              </w:rPr>
              <w:t>8</w:t>
            </w:r>
          </w:p>
        </w:tc>
        <w:tc>
          <w:tcPr>
            <w:tcMar>
              <w:top w:w="0" w:type="dxa"/>
              <w:bottom w:w="0" w:type="dxa"/>
            </w:tcMar>
            <w:vAlign w:val="center"/>
          </w:tcPr>
          <w:p>
            <w:pPr>
              <w:jc w:val="right"/>
              <w:pStyle w:val="Normal"/>
              <w:spacing w:before="0" w:after="0" w:line="240" w:lineRule="auto"/>
              <w:keepNext/>
              <w:keepLines/>
            </w:pPr>
            <w:r>
              <w:rPr>
                <w:sz w:val="18"/>
                <w:rFonts w:ascii="Times New Roman" w:hAnsi="Times New Roman"/>
              </w:rPr>
              <w:t>0,00</w:t>
            </w:r>
          </w:p>
        </w:tc>
        <w:tc>
          <w:tcPr>
            <w:tcMar>
              <w:top w:w="0" w:type="dxa"/>
              <w:bottom w:w="0" w:type="dxa"/>
            </w:tcMar>
            <w:vAlign w:val="center"/>
          </w:tcPr>
          <w:p>
            <w:pPr>
              <w:jc w:val="right"/>
              <w:pStyle w:val="Normal"/>
              <w:spacing w:before="0" w:after="0" w:line="240" w:lineRule="auto"/>
              <w:keepNext/>
              <w:keepLines/>
            </w:pPr>
            <w:r>
              <w:rPr>
                <w:sz w:val="18"/>
                <w:rFonts w:ascii="Times New Roman" w:hAnsi="Times New Roman"/>
              </w:rPr>
              <w:t>0,00</w:t>
            </w:r>
          </w:p>
        </w:tc>
        <w:tc>
          <w:tcPr>
            <w:tcMar>
              <w:top w:w="0" w:type="dxa"/>
              <w:bottom w:w="0" w:type="dxa"/>
            </w:tcMar>
            <w:vAlign w:val="center"/>
          </w:tcPr>
          <w:p>
            <w:pPr>
              <w:jc w:val="right"/>
              <w:pStyle w:val="Normal"/>
              <w:spacing w:before="0" w:after="0" w:line="240" w:lineRule="auto"/>
              <w:keepNext/>
              <w:keepLines/>
            </w:pPr>
            <w:r>
              <w:rPr>
                <w:sz w:val="18"/>
                <w:rFonts w:ascii="Times New Roman" w:hAnsi="Times New Roman"/>
              </w:rPr>
              <w:t>-</w:t>
            </w:r>
          </w:p>
        </w:tc>
      </w:tr>
      <w:tr>
        <w:trPr>
          <w:trHeight w:val="560" w:hRule="atLeast"/>
          <w:cantSplit/>
        </w:trPr>
        <w:tc>
          <w:tcPr>
            <w:tcMar>
              <w:top w:w="0" w:type="dxa"/>
              <w:bottom w:w="0" w:type="dxa"/>
            </w:tcMar>
            <w:vAlign w:val="center"/>
          </w:tcPr>
          <w:p>
            <w:pPr>
              <w:jc w:val="left"/>
              <w:pStyle w:val="Normal"/>
              <w:spacing w:before="0" w:after="0" w:line="240" w:lineRule="auto"/>
              <w:keepNext/>
              <w:keepLines/>
            </w:pPr>
            <w:r>
              <w:rPr>
                <w:sz w:val="18"/>
                <w:rFonts w:ascii="Times New Roman" w:hAnsi="Times New Roman"/>
              </w:rPr>
              <w:t>5</w:t>
            </w:r>
          </w:p>
        </w:tc>
        <w:tc>
          <w:tcPr>
            <w:tcMar>
              <w:top w:w="0" w:type="dxa"/>
              <w:bottom w:w="0" w:type="dxa"/>
            </w:tcMar>
            <w:vAlign w:val="center"/>
          </w:tcPr>
          <w:p>
            <w:pPr>
              <w:jc w:val="left"/>
              <w:pStyle w:val="Normal"/>
              <w:spacing w:before="0" w:after="0" w:line="240" w:lineRule="auto"/>
              <w:keepNext/>
              <w:keepLines/>
            </w:pPr>
            <w:r>
              <w:rPr>
                <w:sz w:val="18"/>
                <w:rFonts w:ascii="Times New Roman" w:hAnsi="Times New Roman"/>
              </w:rPr>
              <w:t>Izdaci za financijsku imovinu i otplate zajmova (šifre 51+52+53+54+55)</w:t>
            </w:r>
          </w:p>
        </w:tc>
        <w:tc>
          <w:tcPr>
            <w:tcMar>
              <w:top w:w="0" w:type="dxa"/>
              <w:bottom w:w="0" w:type="dxa"/>
            </w:tcMar>
            <w:vAlign w:val="center"/>
          </w:tcPr>
          <w:p>
            <w:pPr>
              <w:jc w:val="left"/>
              <w:pStyle w:val="Normal"/>
              <w:spacing w:before="0" w:after="0" w:line="240" w:lineRule="auto"/>
              <w:keepNext/>
              <w:keepLines/>
            </w:pPr>
            <w:r>
              <w:rPr>
                <w:sz w:val="18"/>
                <w:rFonts w:ascii="Times New Roman" w:hAnsi="Times New Roman"/>
              </w:rPr>
              <w:t>5</w:t>
            </w:r>
          </w:p>
        </w:tc>
        <w:tc>
          <w:tcPr>
            <w:tcMar>
              <w:top w:w="0" w:type="dxa"/>
              <w:bottom w:w="0" w:type="dxa"/>
            </w:tcMar>
            <w:vAlign w:val="center"/>
          </w:tcPr>
          <w:p>
            <w:pPr>
              <w:jc w:val="right"/>
              <w:pStyle w:val="Normal"/>
              <w:spacing w:before="0" w:after="0" w:line="240" w:lineRule="auto"/>
              <w:keepNext/>
              <w:keepLines/>
            </w:pPr>
            <w:r>
              <w:rPr>
                <w:sz w:val="18"/>
                <w:rFonts w:ascii="Times New Roman" w:hAnsi="Times New Roman"/>
              </w:rPr>
              <w:t>0,00</w:t>
            </w:r>
          </w:p>
        </w:tc>
        <w:tc>
          <w:tcPr>
            <w:tcMar>
              <w:top w:w="0" w:type="dxa"/>
              <w:bottom w:w="0" w:type="dxa"/>
            </w:tcMar>
            <w:vAlign w:val="center"/>
          </w:tcPr>
          <w:p>
            <w:pPr>
              <w:jc w:val="right"/>
              <w:pStyle w:val="Normal"/>
              <w:spacing w:before="0" w:after="0" w:line="240" w:lineRule="auto"/>
              <w:keepNext/>
              <w:keepLines/>
            </w:pPr>
            <w:r>
              <w:rPr>
                <w:sz w:val="18"/>
                <w:rFonts w:ascii="Times New Roman" w:hAnsi="Times New Roman"/>
              </w:rPr>
              <w:t>0,00</w:t>
            </w:r>
          </w:p>
        </w:tc>
        <w:tc>
          <w:tcPr>
            <w:tcMar>
              <w:top w:w="0" w:type="dxa"/>
              <w:bottom w:w="0" w:type="dxa"/>
            </w:tcMar>
            <w:vAlign w:val="center"/>
          </w:tcPr>
          <w:p>
            <w:pPr>
              <w:jc w:val="right"/>
              <w:pStyle w:val="Normal"/>
              <w:spacing w:before="0" w:after="0" w:line="240" w:lineRule="auto"/>
              <w:keepNext/>
              <w:keepLines/>
            </w:pPr>
            <w:r>
              <w:rPr>
                <w:sz w:val="18"/>
                <w:rFonts w:ascii="Times New Roman" w:hAnsi="Times New Roman"/>
              </w:rPr>
              <w:t>-</w:t>
            </w:r>
          </w:p>
        </w:tc>
      </w:tr>
      <w:tr>
        <w:trPr>
          <w:trHeight w:val="560" w:hRule="atLeast"/>
          <w:cantSplit/>
        </w:trPr>
        <w:tc>
          <w:tcPr>
            <w:tcMar>
              <w:top w:w="0" w:type="dxa"/>
              <w:bottom w:w="0" w:type="dxa"/>
            </w:tcMar>
            <w:vAlign w:val="center"/>
          </w:tcPr>
          <w:p>
            <w:pPr>
              <w:jc w:val="left"/>
              <w:pStyle w:val="Normal"/>
              <w:spacing w:before="0" w:after="0" w:line="240" w:lineRule="auto"/>
              <w:keepNext/>
              <w:keepLines/>
            </w:pPr>
            <w:r>
              <w:rPr>
                <w:sz w:val="18"/>
                <w:rFonts w:ascii="Times New Roman" w:hAnsi="Times New Roman"/>
                <w:b/>
              </w:rPr>
              <w:t> </w:t>
            </w:r>
          </w:p>
        </w:tc>
        <w:tc>
          <w:tcPr>
            <w:tcMar>
              <w:top w:w="0" w:type="dxa"/>
              <w:bottom w:w="0" w:type="dxa"/>
            </w:tcMar>
            <w:vAlign w:val="center"/>
          </w:tcPr>
          <w:p>
            <w:pPr>
              <w:jc w:val="left"/>
              <w:pStyle w:val="Normal"/>
              <w:spacing w:before="0" w:after="0" w:line="240" w:lineRule="auto"/>
              <w:keepNext/>
              <w:keepLines/>
            </w:pPr>
            <w:r>
              <w:rPr>
                <w:sz w:val="18"/>
                <w:rFonts w:ascii="Times New Roman" w:hAnsi="Times New Roman"/>
                <w:b/>
              </w:rPr>
              <w:t>VIŠAK/MANJAK PRIMITAKA OD FINANCIJSKE IMOVINE I ZADUŽIVANJA (šifre 8-5, 5-8)</w:t>
            </w:r>
          </w:p>
        </w:tc>
        <w:tc>
          <w:tcPr>
            <w:tcMar>
              <w:top w:w="0" w:type="dxa"/>
              <w:bottom w:w="0" w:type="dxa"/>
            </w:tcMar>
            <w:vAlign w:val="center"/>
          </w:tcPr>
          <w:p>
            <w:pPr>
              <w:jc w:val="left"/>
              <w:pStyle w:val="Normal"/>
              <w:spacing w:before="0" w:after="0" w:line="240" w:lineRule="auto"/>
              <w:keepNext/>
              <w:keepLines/>
            </w:pPr>
            <w:r>
              <w:rPr>
                <w:sz w:val="18"/>
                <w:rFonts w:ascii="Times New Roman" w:hAnsi="Times New Roman"/>
                <w:b/>
              </w:rPr>
              <w:t>X003, Y003</w:t>
            </w:r>
          </w:p>
        </w:tc>
        <w:tc>
          <w:tcPr>
            <w:tcMar>
              <w:top w:w="0" w:type="dxa"/>
              <w:bottom w:w="0" w:type="dxa"/>
            </w:tcMar>
            <w:vAlign w:val="center"/>
          </w:tcPr>
          <w:p>
            <w:pPr>
              <w:jc w:val="right"/>
              <w:pStyle w:val="Normal"/>
              <w:spacing w:before="0" w:after="0" w:line="240" w:lineRule="auto"/>
              <w:keepNext/>
              <w:keepLines/>
            </w:pPr>
            <w:r>
              <w:rPr>
                <w:sz w:val="18"/>
                <w:rFonts w:ascii="Times New Roman" w:hAnsi="Times New Roman"/>
                <w:b/>
              </w:rPr>
              <w:t>0,00</w:t>
            </w:r>
          </w:p>
        </w:tc>
        <w:tc>
          <w:tcPr>
            <w:tcMar>
              <w:top w:w="0" w:type="dxa"/>
              <w:bottom w:w="0" w:type="dxa"/>
            </w:tcMar>
            <w:vAlign w:val="center"/>
          </w:tcPr>
          <w:p>
            <w:pPr>
              <w:jc w:val="right"/>
              <w:pStyle w:val="Normal"/>
              <w:spacing w:before="0" w:after="0" w:line="240" w:lineRule="auto"/>
              <w:keepNext/>
              <w:keepLines/>
            </w:pPr>
            <w:r>
              <w:rPr>
                <w:sz w:val="18"/>
                <w:rFonts w:ascii="Times New Roman" w:hAnsi="Times New Roman"/>
                <w:b/>
              </w:rPr>
              <w:t>0,00</w:t>
            </w:r>
          </w:p>
        </w:tc>
        <w:tc>
          <w:tcPr>
            <w:tcMar>
              <w:top w:w="0" w:type="dxa"/>
              <w:bottom w:w="0" w:type="dxa"/>
            </w:tcMar>
            <w:vAlign w:val="center"/>
          </w:tcPr>
          <w:p>
            <w:pPr>
              <w:jc w:val="right"/>
              <w:pStyle w:val="Normal"/>
              <w:spacing w:before="0" w:after="0" w:line="240" w:lineRule="auto"/>
              <w:keepNext/>
              <w:keepLines/>
            </w:pPr>
            <w:r>
              <w:rPr>
                <w:sz w:val="18"/>
                <w:rFonts w:ascii="Times New Roman" w:hAnsi="Times New Roman"/>
                <w:b/>
              </w:rPr>
              <w:t>-</w:t>
            </w:r>
          </w:p>
        </w:tc>
      </w:tr>
      <w:tr>
        <w:trPr>
          <w:trHeight w:val="560" w:hRule="atLeast"/>
          <w:cantSplit/>
        </w:trPr>
        <w:tc>
          <w:tcPr>
            <w:tcMar>
              <w:top w:w="0" w:type="dxa"/>
              <w:bottom w:w="0" w:type="dxa"/>
            </w:tcMar>
            <w:vAlign w:val="center"/>
          </w:tcPr>
          <w:p>
            <w:pPr>
              <w:jc w:val="left"/>
              <w:pStyle w:val="Normal"/>
              <w:spacing w:before="0" w:after="0" w:line="240" w:lineRule="auto"/>
              <w:keepNext/>
              <w:keepLines/>
            </w:pPr>
            <w:r>
              <w:rPr>
                <w:sz w:val="18"/>
                <w:rFonts w:ascii="Times New Roman" w:hAnsi="Times New Roman"/>
                <w:b/>
              </w:rPr>
              <w:t> </w:t>
            </w:r>
          </w:p>
        </w:tc>
        <w:tc>
          <w:tcPr>
            <w:tcMar>
              <w:top w:w="0" w:type="dxa"/>
              <w:bottom w:w="0" w:type="dxa"/>
            </w:tcMar>
            <w:vAlign w:val="center"/>
          </w:tcPr>
          <w:p>
            <w:pPr>
              <w:jc w:val="left"/>
              <w:pStyle w:val="Normal"/>
              <w:spacing w:before="0" w:after="0" w:line="240" w:lineRule="auto"/>
              <w:keepNext/>
              <w:keepLines/>
            </w:pPr>
            <w:r>
              <w:rPr>
                <w:sz w:val="18"/>
                <w:rFonts w:ascii="Times New Roman" w:hAnsi="Times New Roman"/>
                <w:b/>
              </w:rPr>
              <w:t>MANJAK PRIHODA I PRIMITAKA (šifre Y345-X678)</w:t>
            </w:r>
          </w:p>
        </w:tc>
        <w:tc>
          <w:tcPr>
            <w:tcMar>
              <w:top w:w="0" w:type="dxa"/>
              <w:bottom w:w="0" w:type="dxa"/>
            </w:tcMar>
            <w:vAlign w:val="center"/>
          </w:tcPr>
          <w:p>
            <w:pPr>
              <w:jc w:val="left"/>
              <w:pStyle w:val="Normal"/>
              <w:spacing w:before="0" w:after="0" w:line="240" w:lineRule="auto"/>
              <w:keepNext/>
              <w:keepLines/>
            </w:pPr>
            <w:r>
              <w:rPr>
                <w:sz w:val="18"/>
                <w:rFonts w:ascii="Times New Roman" w:hAnsi="Times New Roman"/>
                <w:b/>
              </w:rPr>
              <w:t>Y005</w:t>
            </w:r>
          </w:p>
        </w:tc>
        <w:tc>
          <w:tcPr>
            <w:tcMar>
              <w:top w:w="0" w:type="dxa"/>
              <w:bottom w:w="0" w:type="dxa"/>
            </w:tcMar>
            <w:vAlign w:val="center"/>
          </w:tcPr>
          <w:p>
            <w:pPr>
              <w:jc w:val="right"/>
              <w:pStyle w:val="Normal"/>
              <w:spacing w:before="0" w:after="0" w:line="240" w:lineRule="auto"/>
              <w:keepNext/>
              <w:keepLines/>
            </w:pPr>
            <w:r>
              <w:rPr>
                <w:sz w:val="18"/>
                <w:rFonts w:ascii="Times New Roman" w:hAnsi="Times New Roman"/>
                <w:b/>
              </w:rPr>
              <w:t>9.028,44</w:t>
            </w:r>
          </w:p>
        </w:tc>
        <w:tc>
          <w:tcPr>
            <w:tcMar>
              <w:top w:w="0" w:type="dxa"/>
              <w:bottom w:w="0" w:type="dxa"/>
            </w:tcMar>
            <w:vAlign w:val="center"/>
          </w:tcPr>
          <w:p>
            <w:pPr>
              <w:jc w:val="right"/>
              <w:pStyle w:val="Normal"/>
              <w:spacing w:before="0" w:after="0" w:line="240" w:lineRule="auto"/>
              <w:keepNext/>
              <w:keepLines/>
            </w:pPr>
            <w:r>
              <w:rPr>
                <w:sz w:val="18"/>
                <w:rFonts w:ascii="Times New Roman" w:hAnsi="Times New Roman"/>
                <w:b/>
              </w:rPr>
              <w:t>79.078,31</w:t>
            </w:r>
          </w:p>
        </w:tc>
        <w:tc>
          <w:tcPr>
            <w:tcMar>
              <w:top w:w="0" w:type="dxa"/>
              <w:bottom w:w="0" w:type="dxa"/>
            </w:tcMar>
            <w:vAlign w:val="center"/>
          </w:tcPr>
          <w:p>
            <w:pPr>
              <w:jc w:val="right"/>
              <w:pStyle w:val="Normal"/>
              <w:spacing w:before="0" w:after="0" w:line="240" w:lineRule="auto"/>
              <w:keepNext/>
              <w:keepLines/>
            </w:pPr>
            <w:r>
              <w:rPr>
                <w:sz w:val="18"/>
                <w:rFonts w:ascii="Times New Roman" w:hAnsi="Times New Roman"/>
                <w:b/>
              </w:rPr>
              <w:t>875,9</w:t>
            </w:r>
          </w:p>
        </w:tc>
      </w:tr>
    </w:tbl>
    <w:p>
      <w:pPr>
        <w:spacing w:before="0" w:after="0"/>
      </w:pPr>
    </w:p>
    <w:p>
      <w:r>
        <w:t xml:space="preserve">Ukupni prihodi poslovanja (šifra 6) u razdoblju I. - XII. 2025. godine ostvareni su u visini 1.115.955,06 eura i veći su od prethodne godine. Najznačajniju stavku predstavljaju prihodi iz državnog proračuna za financiranje plaća, naknada za zaposlene, financiranje školske prehrane za sve učenike škole, prihodi Općine za sufinanciranje produženog boravka, te je porast vidljiv zbog povećanja koeficijenta i osnovice plaće. Ukupni rashodi poslovanja (šifra 3) ostvareni su u visini 1.167.471,71 eura i veći su od prethodne godine, najviše zbog novog knjiženja, tj. trinaest rashoda plaće (prethodne godine plaća za prosinac bila je prikazana kao kontinuirani rashod). Rashodi za nabavu nefinancijske imovine (šifra 4) iznose 27.561,66 i veći su nego prošle godine. U rashode se ubraja idejno rješenje za izmjenu i dopunu dozvole za školsku sportsku dvoranu, izvedba sustava kontrole ulaska u zgradu (oprema za sigurnost škole), el.pila za rezidbu, vanjska rasvjeta, vrata kotlovnice, rampa na ulazu.</w:t>
      </w:r>
    </w:p>
    <w:p>
      <w:r>
        <w:t xml:space="preserve">U konačnici, ostvaren je manjak prihoda (šifra Y005) u iznosu 79.078,31 eura, najviše zbog priznavanja rashoda za plaću za prosinac (do 31.12. imamo proknjiženo trinaest rashoda za plaće djelatnika) prema novom Pravilniku o proračunskom računovodstvu i Računskom planu, također zbog nenaplaćenih prihoda za školsku kuhinju, te produženog boravka za mjesec prosinac. U slijedećem razdoblju naplatiti će se sva navedena potraživanja kako bi se rashodi i dalje mogli redovito podmirivati. </w:t>
      </w:r>
    </w:p>
    <w:p>
      <w:r>
        <w:br/>
      </w:r>
    </w:p>
    <w:p>
      <w:pPr>
        <w:jc w:val="center"/>
        <w:pStyle w:val="Normal"/>
        <w:spacing w:line="240" w:lineRule="auto"/>
        <w:keepNext/>
      </w:pPr>
      <w:r>
        <w:rPr>
          <w:b/>
          <w:sz w:val="28"/>
          <w:rFonts w:ascii="Times New Roman" w:hAnsi="Times New Roman"/>
        </w:rPr>
        <w:t xml:space="preserve">Izvještaj o obvezama</w:t>
      </w:r>
    </w:p>
    <w:p>
      <w:pPr>
        <w:jc w:val="center"/>
        <w:pStyle w:val="Normal"/>
        <w:spacing w:line="240" w:lineRule="auto"/>
        <w:keepNext/>
      </w:pPr>
      <w:r>
        <w:rPr>
          <w:sz w:val="28"/>
          <w:rFonts w:ascii="Times New Roman" w:hAnsi="Times New Roman"/>
        </w:rPr>
        <w:t xml:space="preserve">Bilješka 2.</w:t>
      </w:r>
    </w:p>
    <w:tbl>
      <w:tblPr>
        <w:tblBorders>
          <w:top w:val="single" w:color="BABABA" w:sz="12"/>
          <w:bottom w:val="single" w:color="BABABA" w:sz="12"/>
          <w:left w:val="single" w:color="BABABA" w:sz="12"/>
          <w:right w:val="single" w:color="BABABA" w:sz="12"/>
          <w:insideH w:val="single" w:color="BABABA" w:sz="8"/>
          <w:insideV w:val="single" w:color="DADADA" w:sz="8"/>
        </w:tblBorders>
        <w:tblW w:w="9000" w:type="dxa"/>
        <w:tblLayout w:type="fixed"/>
        <w:tblCellMar>
          <w:left w:w="40" w:type="dxa"/>
          <w:right w:w="40" w:type="dxa"/>
        </w:tblCellMar>
      </w:tblPr>
      <w:tblGrid>
        <w:gridCol w:w="700"/>
        <w:gridCol w:w="3180"/>
        <w:gridCol w:w="700"/>
        <w:gridCol w:w="1860"/>
        <w:gridCol w:w="700"/>
      </w:tblGrid>
      <w:tr>
        <w:trPr>
          <w:cantSplit/>
        </w:trPr>
        <w:tc>
          <w:tcPr>
            <w:shd w:val="clear" w:color="auto" w:fill="E7F0F9"/>
            <w:tcMar>
              <w:top w:w="0" w:type="dxa"/>
              <w:bottom w:w="0" w:type="dxa"/>
            </w:tcMar>
            <w:vAlign w:val="center"/>
          </w:tcPr>
          <w:p>
            <w:pPr>
              <w:jc w:val="center"/>
              <w:pStyle w:val="Normal"/>
              <w:spacing w:before="0" w:after="0" w:line="240" w:lineRule="auto"/>
              <w:keepNext/>
              <w:keepLines/>
            </w:pPr>
            <w:r>
              <w:rPr>
                <w:sz w:val="18"/>
                <w:rFonts w:ascii="Times New Roman" w:hAnsi="Times New Roman"/>
                <w:b/>
              </w:rPr>
              <w:t>Račun iz rač. plana</w:t>
            </w:r>
          </w:p>
        </w:tc>
        <w:tc>
          <w:tcPr>
            <w:shd w:val="clear" w:color="auto" w:fill="E7F0F9"/>
            <w:tcMar>
              <w:top w:w="0" w:type="dxa"/>
              <w:bottom w:w="0" w:type="dxa"/>
            </w:tcMar>
            <w:vAlign w:val="center"/>
          </w:tcPr>
          <w:p>
            <w:pPr>
              <w:jc w:val="center"/>
              <w:pStyle w:val="Normal"/>
              <w:spacing w:before="0" w:after="0" w:line="240" w:lineRule="auto"/>
              <w:keepNext/>
              <w:keepLines/>
            </w:pPr>
            <w:r>
              <w:rPr>
                <w:sz w:val="18"/>
                <w:rFonts w:ascii="Times New Roman" w:hAnsi="Times New Roman"/>
                <w:b/>
              </w:rPr>
              <w:t>Opis stavke</w:t>
            </w:r>
          </w:p>
        </w:tc>
        <w:tc>
          <w:tcPr>
            <w:shd w:val="clear" w:color="auto" w:fill="E7F0F9"/>
            <w:tcMar>
              <w:top w:w="0" w:type="dxa"/>
              <w:bottom w:w="0" w:type="dxa"/>
            </w:tcMar>
            <w:vAlign w:val="center"/>
          </w:tcPr>
          <w:p>
            <w:pPr>
              <w:jc w:val="center"/>
              <w:pStyle w:val="Normal"/>
              <w:spacing w:before="0" w:after="0" w:line="240" w:lineRule="auto"/>
              <w:keepNext/>
              <w:keepLines/>
            </w:pPr>
            <w:r>
              <w:rPr>
                <w:sz w:val="18"/>
                <w:rFonts w:ascii="Times New Roman" w:hAnsi="Times New Roman"/>
                <w:b/>
              </w:rPr>
              <w:t>Šifra</w:t>
            </w:r>
          </w:p>
        </w:tc>
        <w:tc>
          <w:tcPr>
            <w:shd w:val="clear" w:color="auto" w:fill="E7F0F9"/>
            <w:tcMar>
              <w:top w:w="0" w:type="dxa"/>
              <w:bottom w:w="0" w:type="dxa"/>
            </w:tcMar>
            <w:vAlign w:val="center"/>
          </w:tcPr>
          <w:p>
            <w:pPr>
              <w:jc w:val="center"/>
              <w:pStyle w:val="Normal"/>
              <w:spacing w:before="0" w:after="0" w:line="240" w:lineRule="auto"/>
              <w:keepNext/>
              <w:keepLines/>
            </w:pPr>
            <w:r>
              <w:rPr>
                <w:sz w:val="18"/>
                <w:rFonts w:ascii="Times New Roman" w:hAnsi="Times New Roman"/>
                <w:b/>
              </w:rPr>
              <w:t>Iznos</w:t>
            </w:r>
          </w:p>
        </w:tc>
        <w:tc>
          <w:tcPr>
            <w:shd w:val="clear" w:color="auto" w:fill="E7F0F9"/>
            <w:tcMar>
              <w:top w:w="0" w:type="dxa"/>
              <w:bottom w:w="0" w:type="dxa"/>
            </w:tcMar>
            <w:vAlign w:val="center"/>
          </w:tcPr>
          <w:p>
            <w:pPr>
              <w:jc w:val="center"/>
              <w:pStyle w:val="Normal"/>
              <w:spacing w:before="0" w:after="0" w:line="240" w:lineRule="auto"/>
              <w:keepNext/>
              <w:keepLines/>
            </w:pPr>
            <w:r>
              <w:rPr>
                <w:sz w:val="18"/>
                <w:rFonts w:ascii="Times New Roman" w:hAnsi="Times New Roman"/>
                <w:b/>
              </w:rPr>
              <w:t>Indeks (%)</w:t>
            </w:r>
          </w:p>
        </w:tc>
      </w:tr>
      <w:tr>
        <w:trPr>
          <w:trHeight w:val="560" w:hRule="atLeast"/>
          <w:cantSplit/>
        </w:trPr>
        <w:tc>
          <w:tcPr>
            <w:tcMar>
              <w:top w:w="0" w:type="dxa"/>
              <w:bottom w:w="0" w:type="dxa"/>
            </w:tcMar>
            <w:vAlign w:val="center"/>
          </w:tcPr>
          <w:p>
            <w:pPr>
              <w:jc w:val="left"/>
              <w:pStyle w:val="Normal"/>
              <w:spacing w:before="0" w:after="0" w:line="240" w:lineRule="auto"/>
              <w:keepNext/>
              <w:keepLines/>
            </w:pPr>
            <w:r>
              <w:rPr>
                <w:sz w:val="18"/>
                <w:rFonts w:ascii="Times New Roman" w:hAnsi="Times New Roman"/>
              </w:rPr>
              <w:t/>
            </w:r>
          </w:p>
        </w:tc>
        <w:tc>
          <w:tcPr>
            <w:tcMar>
              <w:top w:w="0" w:type="dxa"/>
              <w:bottom w:w="0" w:type="dxa"/>
            </w:tcMar>
            <w:vAlign w:val="center"/>
          </w:tcPr>
          <w:p>
            <w:pPr>
              <w:jc w:val="left"/>
              <w:pStyle w:val="Normal"/>
              <w:spacing w:before="0" w:after="0" w:line="240" w:lineRule="auto"/>
              <w:keepNext/>
              <w:keepLines/>
            </w:pPr>
            <w:r>
              <w:rPr>
                <w:sz w:val="18"/>
                <w:rFonts w:ascii="Times New Roman" w:hAnsi="Times New Roman"/>
              </w:rPr>
              <w:t>Stanje dospjelih obveza na kraju izvještajnog razdoblja (šifre V008+D23+D24 + 'D dio 25,26' + D27)</w:t>
            </w:r>
          </w:p>
        </w:tc>
        <w:tc>
          <w:tcPr>
            <w:tcMar>
              <w:top w:w="0" w:type="dxa"/>
              <w:bottom w:w="0" w:type="dxa"/>
            </w:tcMar>
            <w:vAlign w:val="center"/>
          </w:tcPr>
          <w:p>
            <w:pPr>
              <w:jc w:val="left"/>
              <w:pStyle w:val="Normal"/>
              <w:spacing w:before="0" w:after="0" w:line="240" w:lineRule="auto"/>
              <w:keepNext/>
              <w:keepLines/>
            </w:pPr>
            <w:r>
              <w:rPr>
                <w:sz w:val="18"/>
                <w:rFonts w:ascii="Times New Roman" w:hAnsi="Times New Roman"/>
              </w:rPr>
              <w:t>V007</w:t>
            </w:r>
          </w:p>
        </w:tc>
        <w:tc>
          <w:tcPr>
            <w:tcMar>
              <w:top w:w="0" w:type="dxa"/>
              <w:bottom w:w="0" w:type="dxa"/>
            </w:tcMar>
            <w:vAlign w:val="center"/>
          </w:tcPr>
          <w:p>
            <w:pPr>
              <w:jc w:val="right"/>
              <w:pStyle w:val="Normal"/>
              <w:spacing w:before="0" w:after="0" w:line="240" w:lineRule="auto"/>
              <w:keepNext/>
              <w:keepLines/>
            </w:pPr>
            <w:r>
              <w:rPr>
                <w:sz w:val="18"/>
                <w:rFonts w:ascii="Times New Roman" w:hAnsi="Times New Roman"/>
              </w:rPr>
              <w:t>10,60</w:t>
            </w:r>
          </w:p>
        </w:tc>
        <w:tc>
          <w:tcPr>
            <w:tcMar>
              <w:top w:w="0" w:type="dxa"/>
              <w:bottom w:w="0" w:type="dxa"/>
            </w:tcMar>
            <w:vAlign w:val="center"/>
          </w:tcPr>
          <w:p>
            <w:pPr>
              <w:jc w:val="right"/>
              <w:pStyle w:val="Normal"/>
              <w:spacing w:before="0" w:after="0" w:line="240" w:lineRule="auto"/>
              <w:keepNext/>
              <w:keepLines/>
            </w:pPr>
            <w:r>
              <w:rPr>
                <w:sz w:val="18"/>
                <w:rFonts w:ascii="Times New Roman" w:hAnsi="Times New Roman"/>
              </w:rPr>
              <w:t>-</w:t>
            </w:r>
          </w:p>
        </w:tc>
      </w:tr>
    </w:tbl>
    <w:p>
      <w:pPr>
        <w:spacing w:before="0" w:after="0"/>
      </w:pPr>
    </w:p>
    <w:p>
      <w:r>
        <w:t xml:space="preserve">Dospjele nepodmirene obveze za razdoblje I. - XII. 2025. godine, obuhvaćaju putni nalog koji nije bio isplaćeni do kraja godine zbog tehniče greške (plaćanje nije prošlo zbog pogrešnog broja računa), te je isti podmireni početkom prvog mjeseca 2026. godine. Drugih dospjelih nepodmirenih obveza nema.</w:t>
      </w:r>
    </w:p>
    <w:p/>
  </w:body>
</w:document>
</file>

<file path=word/styles.xml><?xml version="1.0" encoding="utf-8"?>
<w:styles xmlns:w="http://schemas.openxmlformats.org/wordprocessingml/2006/main">
  <w:docDefaults>
    <w:rPrDefault>
      <w:rPr>
        <w:rFonts w:ascii="Times New Roman" w:hAnsi="Times New Roman"/>
        <w:sz w:val="24"/>
      </w:rPr>
    </w:rPrDefault>
  </w:docDefaults>
  <w:style w:type="paragraph" w:styleId="Normal" w:default="true">
    <w:name w:val="Normal"/>
    <w:rPr>
      <w:rFonts w:ascii="Times New Roman" w:hAnsi="Times New Roman"/>
      <w:sz w:val="24"/>
    </w:rPr>
  </w:style>
</w:styles>
</file>

<file path=word/_rels/document.xml.rels>&#65279;<?xml version="1.0" encoding="utf-8"?><Relationships xmlns="http://schemas.openxmlformats.org/package/2006/relationships"><Relationship Type="http://schemas.openxmlformats.org/officeDocument/2006/relationships/styles" Target="/word/styles.xml" Id="Raf57f5bc5f464a37" /></Relationships>
</file>